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55" w:rsidRPr="00112955" w:rsidRDefault="00112955" w:rsidP="001129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Vzdelávacia akadémia Jána Amosa Komenského, Trenčín</w:t>
      </w:r>
    </w:p>
    <w:p w:rsidR="00112955" w:rsidRDefault="00112955" w:rsidP="00E616CB">
      <w:pPr>
        <w:jc w:val="center"/>
        <w:rPr>
          <w:rFonts w:ascii="Arial" w:hAnsi="Arial" w:cs="Arial"/>
          <w:b/>
          <w:sz w:val="52"/>
          <w:szCs w:val="52"/>
        </w:rPr>
      </w:pPr>
    </w:p>
    <w:p w:rsidR="001E2AC7" w:rsidRDefault="00E616CB" w:rsidP="00E616CB">
      <w:pPr>
        <w:jc w:val="center"/>
        <w:rPr>
          <w:rFonts w:ascii="Arial" w:hAnsi="Arial" w:cs="Arial"/>
          <w:b/>
          <w:sz w:val="52"/>
          <w:szCs w:val="52"/>
        </w:rPr>
      </w:pPr>
      <w:r w:rsidRPr="00E616CB">
        <w:rPr>
          <w:rFonts w:ascii="Arial" w:hAnsi="Arial" w:cs="Arial"/>
          <w:b/>
          <w:sz w:val="52"/>
          <w:szCs w:val="52"/>
        </w:rPr>
        <w:t>Protokol o</w:t>
      </w:r>
      <w:r>
        <w:rPr>
          <w:rFonts w:ascii="Arial" w:hAnsi="Arial" w:cs="Arial"/>
          <w:b/>
          <w:sz w:val="52"/>
          <w:szCs w:val="52"/>
        </w:rPr>
        <w:t> </w:t>
      </w:r>
      <w:r w:rsidRPr="00E616CB">
        <w:rPr>
          <w:rFonts w:ascii="Arial" w:hAnsi="Arial" w:cs="Arial"/>
          <w:b/>
          <w:sz w:val="52"/>
          <w:szCs w:val="52"/>
        </w:rPr>
        <w:t>meraní</w:t>
      </w:r>
    </w:p>
    <w:p w:rsidR="00E616CB" w:rsidRDefault="00E616CB" w:rsidP="00E616CB"/>
    <w:p w:rsidR="00E616CB" w:rsidRDefault="00E616CB" w:rsidP="00E616CB"/>
    <w:p w:rsidR="00E616CB" w:rsidRDefault="00E616CB" w:rsidP="00E616CB"/>
    <w:p w:rsidR="00E616CB" w:rsidRDefault="00E616CB" w:rsidP="00E616CB"/>
    <w:p w:rsidR="00E616CB" w:rsidRDefault="00E616CB" w:rsidP="00E616CB"/>
    <w:p w:rsidR="00E616CB" w:rsidRDefault="00E616CB" w:rsidP="00E616CB"/>
    <w:p w:rsidR="00E616CB" w:rsidRDefault="00E616CB" w:rsidP="00E616CB"/>
    <w:p w:rsidR="00112955" w:rsidRDefault="00E616CB" w:rsidP="00112955">
      <w:pPr>
        <w:rPr>
          <w:sz w:val="32"/>
          <w:szCs w:val="32"/>
        </w:rPr>
      </w:pPr>
      <w:r w:rsidRPr="00E616CB">
        <w:rPr>
          <w:sz w:val="32"/>
          <w:szCs w:val="32"/>
        </w:rPr>
        <w:t xml:space="preserve">Zadanie: </w:t>
      </w:r>
    </w:p>
    <w:p w:rsidR="00E616CB" w:rsidRPr="00112955" w:rsidRDefault="00E616CB" w:rsidP="00E616CB">
      <w:pPr>
        <w:jc w:val="center"/>
        <w:rPr>
          <w:b/>
          <w:sz w:val="32"/>
          <w:szCs w:val="32"/>
        </w:rPr>
      </w:pPr>
      <w:r w:rsidRPr="00112955">
        <w:rPr>
          <w:b/>
          <w:sz w:val="32"/>
          <w:szCs w:val="32"/>
        </w:rPr>
        <w:t>Meranie prevodovej charakteristiky bipolárneho tranzistora</w:t>
      </w:r>
    </w:p>
    <w:p w:rsidR="00E616CB" w:rsidRDefault="00E616CB" w:rsidP="00E616CB"/>
    <w:p w:rsidR="00E616CB" w:rsidRDefault="00E616CB" w:rsidP="00E616CB"/>
    <w:p w:rsidR="00E616CB" w:rsidRPr="00E616CB" w:rsidRDefault="00E616CB" w:rsidP="00E616CB"/>
    <w:p w:rsidR="00E616CB" w:rsidRDefault="00E616CB"/>
    <w:p w:rsidR="00E616CB" w:rsidRDefault="00E616CB"/>
    <w:p w:rsidR="00E616CB" w:rsidRDefault="00E616CB"/>
    <w:p w:rsidR="00E616CB" w:rsidRDefault="00E616CB"/>
    <w:p w:rsidR="00E616CB" w:rsidRDefault="00E616CB"/>
    <w:p w:rsidR="00E616CB" w:rsidRDefault="00E616CB"/>
    <w:p w:rsidR="00E616CB" w:rsidRDefault="00E616CB"/>
    <w:p w:rsidR="00E616CB" w:rsidRDefault="00E616CB"/>
    <w:p w:rsidR="00E616CB" w:rsidRDefault="00E616CB"/>
    <w:p w:rsidR="00E616CB" w:rsidRDefault="00E616CB"/>
    <w:p w:rsidR="00E616CB" w:rsidRDefault="00E616CB">
      <w:r>
        <w:t xml:space="preserve">Meranie vypracoval: </w:t>
      </w:r>
      <w:r w:rsidRPr="00A71FF5">
        <w:rPr>
          <w:b/>
        </w:rPr>
        <w:t>Ing. Pavol Kollár, PhD.</w:t>
      </w:r>
    </w:p>
    <w:p w:rsidR="00E616CB" w:rsidRDefault="00E616CB">
      <w:r>
        <w:t xml:space="preserve">Dátum merania: </w:t>
      </w:r>
      <w:r w:rsidR="00B07A8B">
        <w:rPr>
          <w:b/>
        </w:rPr>
        <w:t>01</w:t>
      </w:r>
      <w:r w:rsidRPr="00A71FF5">
        <w:rPr>
          <w:b/>
        </w:rPr>
        <w:t>.</w:t>
      </w:r>
      <w:r w:rsidR="00B07A8B">
        <w:rPr>
          <w:b/>
        </w:rPr>
        <w:t>1</w:t>
      </w:r>
      <w:r w:rsidRPr="00A71FF5">
        <w:rPr>
          <w:b/>
        </w:rPr>
        <w:t>0.20</w:t>
      </w:r>
      <w:r w:rsidR="00A71FF5" w:rsidRPr="00A71FF5">
        <w:rPr>
          <w:b/>
        </w:rPr>
        <w:t>2</w:t>
      </w:r>
      <w:r w:rsidR="00B07A8B">
        <w:rPr>
          <w:b/>
        </w:rPr>
        <w:t>5</w:t>
      </w:r>
    </w:p>
    <w:p w:rsidR="00E616CB" w:rsidRDefault="00E616CB">
      <w:r>
        <w:t xml:space="preserve">Miesto merania: </w:t>
      </w:r>
      <w:r w:rsidRPr="00A71FF5">
        <w:rPr>
          <w:b/>
        </w:rPr>
        <w:t>učebňa č. 62, SOŠ, Pod Sokolicami 14, Trenčín</w:t>
      </w:r>
    </w:p>
    <w:p w:rsidR="00E616CB" w:rsidRDefault="00E616CB">
      <w:r>
        <w:br w:type="page"/>
      </w:r>
    </w:p>
    <w:p w:rsidR="00E616CB" w:rsidRDefault="00E616CB" w:rsidP="00E616CB">
      <w:pPr>
        <w:pStyle w:val="Nadpis1"/>
      </w:pPr>
      <w:r w:rsidRPr="00E616CB">
        <w:lastRenderedPageBreak/>
        <w:t>Zadanie</w:t>
      </w:r>
      <w:r w:rsidR="006F590E">
        <w:t xml:space="preserve"> úlohy</w:t>
      </w:r>
    </w:p>
    <w:p w:rsidR="00E616CB" w:rsidRDefault="006F590E" w:rsidP="00E616CB">
      <w:r>
        <w:t>Zm</w:t>
      </w:r>
      <w:r w:rsidR="00E616CB">
        <w:t>era</w:t>
      </w:r>
      <w:r>
        <w:t>jte prevodové</w:t>
      </w:r>
      <w:r w:rsidR="00E616CB">
        <w:t xml:space="preserve"> charakteristiky</w:t>
      </w:r>
      <w:r>
        <w:t xml:space="preserve"> bipolárneho tranzistora typu NPN pri rôznych napätiach U</w:t>
      </w:r>
      <w:r w:rsidRPr="006F590E">
        <w:rPr>
          <w:vertAlign w:val="subscript"/>
        </w:rPr>
        <w:t>CE</w:t>
      </w:r>
      <w:r w:rsidR="00A71FF5">
        <w:t>.</w:t>
      </w:r>
    </w:p>
    <w:p w:rsidR="006F590E" w:rsidRDefault="006F590E" w:rsidP="00E616CB"/>
    <w:p w:rsidR="006F590E" w:rsidRDefault="006F590E" w:rsidP="006F590E">
      <w:pPr>
        <w:pStyle w:val="Nadpis1"/>
      </w:pPr>
      <w:r>
        <w:t>Rozbor úlohy</w:t>
      </w:r>
    </w:p>
    <w:p w:rsidR="00A71FF5" w:rsidRDefault="006F590E" w:rsidP="000A1AA1">
      <w:pPr>
        <w:jc w:val="both"/>
      </w:pPr>
      <w:r>
        <w:t xml:space="preserve">Prevodovú charakteristiku tranzistora budeme merať v zapojení so spoločným </w:t>
      </w:r>
      <w:proofErr w:type="spellStart"/>
      <w:r>
        <w:t>emitorom</w:t>
      </w:r>
      <w:proofErr w:type="spellEnd"/>
      <w:r>
        <w:t xml:space="preserve"> a to tak, že</w:t>
      </w:r>
      <w:r w:rsidR="00A71FF5">
        <w:t xml:space="preserve"> nastavíme konštantné napätie U</w:t>
      </w:r>
      <w:r w:rsidR="00A71FF5" w:rsidRPr="006F590E">
        <w:rPr>
          <w:vertAlign w:val="subscript"/>
        </w:rPr>
        <w:t>CE</w:t>
      </w:r>
      <w:r>
        <w:t xml:space="preserve"> </w:t>
      </w:r>
      <w:r w:rsidR="00A71FF5">
        <w:t xml:space="preserve">a </w:t>
      </w:r>
      <w:r>
        <w:t xml:space="preserve">meriame </w:t>
      </w:r>
      <w:r w:rsidR="00A71FF5">
        <w:t>prúdy I</w:t>
      </w:r>
      <w:r w:rsidR="00A71FF5" w:rsidRPr="006F590E">
        <w:rPr>
          <w:vertAlign w:val="subscript"/>
        </w:rPr>
        <w:t>B</w:t>
      </w:r>
      <w:r w:rsidR="00A71FF5">
        <w:t xml:space="preserve"> a I</w:t>
      </w:r>
      <w:r w:rsidR="00A71FF5" w:rsidRPr="006F590E">
        <w:rPr>
          <w:vertAlign w:val="subscript"/>
        </w:rPr>
        <w:t>C</w:t>
      </w:r>
      <w:r w:rsidR="00A71FF5">
        <w:t xml:space="preserve">. Pre kontrolu meriame aj napätia </w:t>
      </w:r>
      <w:r>
        <w:t>U</w:t>
      </w:r>
      <w:r w:rsidRPr="006F590E">
        <w:rPr>
          <w:vertAlign w:val="subscript"/>
        </w:rPr>
        <w:t>BE</w:t>
      </w:r>
      <w:r>
        <w:t xml:space="preserve"> a U</w:t>
      </w:r>
      <w:r w:rsidRPr="006F590E">
        <w:rPr>
          <w:vertAlign w:val="subscript"/>
        </w:rPr>
        <w:t>CE</w:t>
      </w:r>
      <w:r>
        <w:t>. Podiel prúdov I</w:t>
      </w:r>
      <w:r w:rsidRPr="006F590E">
        <w:rPr>
          <w:vertAlign w:val="subscript"/>
        </w:rPr>
        <w:t>C</w:t>
      </w:r>
      <w:r>
        <w:t xml:space="preserve"> a I</w:t>
      </w:r>
      <w:r w:rsidRPr="006F590E">
        <w:rPr>
          <w:vertAlign w:val="subscript"/>
        </w:rPr>
        <w:t>B</w:t>
      </w:r>
      <w:r>
        <w:t xml:space="preserve"> nám udáva prúdový zosilňovací činiteľ </w:t>
      </w:r>
      <w:r w:rsidR="00A71FF5">
        <w:t xml:space="preserve">v zapojení so spoločným </w:t>
      </w:r>
      <w:proofErr w:type="spellStart"/>
      <w:r w:rsidR="00A71FF5">
        <w:t>emitorom</w:t>
      </w:r>
      <w:proofErr w:type="spellEnd"/>
      <w:r w:rsidR="00A71FF5">
        <w:t xml:space="preserve"> - </w:t>
      </w:r>
      <w:r>
        <w:t>h</w:t>
      </w:r>
      <w:r w:rsidRPr="006F590E">
        <w:rPr>
          <w:vertAlign w:val="subscript"/>
        </w:rPr>
        <w:t>21E</w:t>
      </w:r>
      <w:r w:rsidR="00A71FF5">
        <w:t>.</w:t>
      </w:r>
    </w:p>
    <w:p w:rsidR="00CE58A4" w:rsidRDefault="00CE58A4" w:rsidP="006F590E"/>
    <w:p w:rsidR="00CE58A4" w:rsidRDefault="00CE58A4" w:rsidP="00CE58A4">
      <w:pPr>
        <w:pStyle w:val="Nadpis1"/>
      </w:pPr>
      <w:r>
        <w:t>Schéma zapojenia</w:t>
      </w:r>
    </w:p>
    <w:p w:rsidR="003A19ED" w:rsidRDefault="003A19ED" w:rsidP="00CE58A4"/>
    <w:p w:rsidR="003A19ED" w:rsidRDefault="003A19ED" w:rsidP="003A19ED">
      <w:r>
        <w:t xml:space="preserve">Na meranie sme použili bipolárny tranzistor typu NPN </w:t>
      </w:r>
      <w:r w:rsidRPr="00CE58A4">
        <w:rPr>
          <w:b/>
        </w:rPr>
        <w:t>KFY46</w:t>
      </w:r>
      <w:r>
        <w:rPr>
          <w:b/>
        </w:rPr>
        <w:t xml:space="preserve">, </w:t>
      </w:r>
      <w:r>
        <w:t>2 ks digitálnych ampérmetrov, 2 ks digitálnych voltmetrov, bázový rezistor a 2 ks napájacích zdrojov.</w:t>
      </w:r>
    </w:p>
    <w:p w:rsidR="00CE58A4" w:rsidRDefault="003A19ED" w:rsidP="00CE58A4">
      <w:r>
        <w:rPr>
          <w:noProof/>
          <w:lang w:eastAsia="sk-SK"/>
        </w:rPr>
        <w:drawing>
          <wp:inline distT="0" distB="0" distL="0" distR="0">
            <wp:extent cx="5515610" cy="246674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246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9CE" w:rsidRDefault="000E59CE" w:rsidP="00CE58A4">
      <w:r>
        <w:t>Ampérmeter A</w:t>
      </w:r>
      <w:r w:rsidRPr="000E59CE">
        <w:rPr>
          <w:vertAlign w:val="subscript"/>
        </w:rPr>
        <w:t>1</w:t>
      </w:r>
      <w:r>
        <w:t xml:space="preserve">: rozsah </w:t>
      </w:r>
      <w:proofErr w:type="spellStart"/>
      <w:r>
        <w:t>mikroampér</w:t>
      </w:r>
      <w:proofErr w:type="spellEnd"/>
      <w:r>
        <w:t xml:space="preserve"> DC</w:t>
      </w:r>
    </w:p>
    <w:p w:rsidR="000E59CE" w:rsidRDefault="000E59CE" w:rsidP="00CE58A4">
      <w:r>
        <w:t>Ampérmeter A</w:t>
      </w:r>
      <w:r w:rsidRPr="000E59CE">
        <w:rPr>
          <w:vertAlign w:val="subscript"/>
        </w:rPr>
        <w:t>2</w:t>
      </w:r>
      <w:r>
        <w:t xml:space="preserve">: rozsah </w:t>
      </w:r>
      <w:proofErr w:type="spellStart"/>
      <w:r>
        <w:t>miliampér</w:t>
      </w:r>
      <w:proofErr w:type="spellEnd"/>
      <w:r>
        <w:t xml:space="preserve"> DC</w:t>
      </w:r>
    </w:p>
    <w:p w:rsidR="000E59CE" w:rsidRDefault="000E59CE" w:rsidP="00CE58A4">
      <w:r>
        <w:t>Voltmetre V</w:t>
      </w:r>
      <w:r w:rsidRPr="000E59CE">
        <w:rPr>
          <w:vertAlign w:val="subscript"/>
        </w:rPr>
        <w:t>1</w:t>
      </w:r>
      <w:r>
        <w:t xml:space="preserve"> a V</w:t>
      </w:r>
      <w:r w:rsidRPr="000E59CE">
        <w:rPr>
          <w:vertAlign w:val="subscript"/>
        </w:rPr>
        <w:t>2</w:t>
      </w:r>
      <w:r>
        <w:t>: rozsah volt DC</w:t>
      </w:r>
    </w:p>
    <w:p w:rsidR="000E59CE" w:rsidRDefault="000E59CE" w:rsidP="00CE58A4">
      <w:r>
        <w:t>R</w:t>
      </w:r>
      <w:r w:rsidRPr="000E59CE">
        <w:rPr>
          <w:vertAlign w:val="subscript"/>
        </w:rPr>
        <w:t>B</w:t>
      </w:r>
      <w:r>
        <w:t xml:space="preserve">: </w:t>
      </w:r>
      <w:r w:rsidR="003A19ED">
        <w:t>10 000</w:t>
      </w:r>
      <w:r>
        <w:t xml:space="preserve"> ohm</w:t>
      </w:r>
      <w:r w:rsidR="003A19ED">
        <w:t xml:space="preserve"> (10 kΩ)</w:t>
      </w:r>
    </w:p>
    <w:p w:rsidR="00C064A6" w:rsidRDefault="00C064A6" w:rsidP="00CE58A4">
      <w:r>
        <w:t>P1:   2 000 ohm (10 kΩ)</w:t>
      </w:r>
    </w:p>
    <w:p w:rsidR="000E59CE" w:rsidRDefault="000E59CE" w:rsidP="00CE58A4">
      <w:r>
        <w:t>U</w:t>
      </w:r>
      <w:r w:rsidRPr="000E59CE">
        <w:rPr>
          <w:vertAlign w:val="subscript"/>
        </w:rPr>
        <w:t>1</w:t>
      </w:r>
      <w:r>
        <w:t>, U</w:t>
      </w:r>
      <w:r w:rsidRPr="000E59CE">
        <w:rPr>
          <w:vertAlign w:val="subscript"/>
        </w:rPr>
        <w:t>2</w:t>
      </w:r>
      <w:r>
        <w:t>: 0,</w:t>
      </w:r>
      <w:r w:rsidR="003A19ED">
        <w:t>8</w:t>
      </w:r>
      <w:r>
        <w:t xml:space="preserve"> – 1</w:t>
      </w:r>
      <w:r w:rsidR="003A19ED">
        <w:t>0</w:t>
      </w:r>
      <w:r>
        <w:t xml:space="preserve"> V</w:t>
      </w:r>
      <w:bookmarkStart w:id="0" w:name="_GoBack"/>
      <w:bookmarkEnd w:id="0"/>
    </w:p>
    <w:p w:rsidR="000E59CE" w:rsidRDefault="000E59CE" w:rsidP="00CE58A4">
      <w:r>
        <w:t>T: KFY46</w:t>
      </w:r>
    </w:p>
    <w:p w:rsidR="000E59CE" w:rsidRDefault="000E59CE">
      <w:r>
        <w:br w:type="page"/>
      </w:r>
    </w:p>
    <w:p w:rsidR="000E59CE" w:rsidRDefault="000E59CE" w:rsidP="000E59CE">
      <w:pPr>
        <w:pStyle w:val="Nadpis1"/>
      </w:pPr>
      <w:r>
        <w:lastRenderedPageBreak/>
        <w:t>Popis merania</w:t>
      </w:r>
    </w:p>
    <w:p w:rsidR="003A19ED" w:rsidRDefault="003A19ED" w:rsidP="000E59CE"/>
    <w:p w:rsidR="003A19ED" w:rsidRDefault="000E59CE" w:rsidP="000A1AA1">
      <w:pPr>
        <w:jc w:val="both"/>
      </w:pPr>
      <w:r>
        <w:t xml:space="preserve">Po zapojení elektrického obvodu pre meranie a jeho kontrole </w:t>
      </w:r>
      <w:r w:rsidR="003A19ED">
        <w:t xml:space="preserve">boli na zdrojoch </w:t>
      </w:r>
      <w:r>
        <w:t>nastav</w:t>
      </w:r>
      <w:r w:rsidR="003A19ED">
        <w:t>ené</w:t>
      </w:r>
      <w:r>
        <w:t xml:space="preserve"> minimálne hodnoty</w:t>
      </w:r>
      <w:r w:rsidR="000A1AA1">
        <w:t xml:space="preserve"> výstupných </w:t>
      </w:r>
      <w:r>
        <w:t>napätí</w:t>
      </w:r>
      <w:r w:rsidR="000A1AA1">
        <w:t xml:space="preserve"> (0,8 V)</w:t>
      </w:r>
      <w:r>
        <w:t xml:space="preserve">. </w:t>
      </w:r>
      <w:r w:rsidR="00CE3D70">
        <w:t>Pre dosiahnutie minimálneho bázového prúdu bolo potrebné použiť potenciometer P</w:t>
      </w:r>
      <w:r w:rsidR="00CE3D70" w:rsidRPr="00CE3D70">
        <w:rPr>
          <w:vertAlign w:val="subscript"/>
        </w:rPr>
        <w:t>1</w:t>
      </w:r>
      <w:r w:rsidR="00CE3D70">
        <w:t xml:space="preserve"> vo funkcii deliča napätia, pretože napätie zdroja = 0,8 V pri použití bázového odporu 10 kΩ bolo príliš vysoké pre nastavenie bázového prúdu = 0,1 µA. </w:t>
      </w:r>
      <w:r>
        <w:t xml:space="preserve">Po zapnutí výstupov zdrojov </w:t>
      </w:r>
      <w:r w:rsidR="000A1AA1">
        <w:t>bolo na zdroji U</w:t>
      </w:r>
      <w:r w:rsidR="000A1AA1" w:rsidRPr="00CC5166">
        <w:rPr>
          <w:vertAlign w:val="subscript"/>
        </w:rPr>
        <w:t>2</w:t>
      </w:r>
      <w:r>
        <w:t xml:space="preserve"> nastav</w:t>
      </w:r>
      <w:r w:rsidR="000A1AA1">
        <w:t>ené</w:t>
      </w:r>
      <w:r>
        <w:t xml:space="preserve"> napätie cca </w:t>
      </w:r>
      <w:r w:rsidR="00C064A6">
        <w:t>3</w:t>
      </w:r>
      <w:r w:rsidR="000A1AA1">
        <w:t xml:space="preserve">,00 </w:t>
      </w:r>
      <w:r>
        <w:t>V</w:t>
      </w:r>
      <w:r w:rsidR="00106673">
        <w:t xml:space="preserve">, keďže prvé meranie </w:t>
      </w:r>
      <w:r w:rsidR="003A19ED">
        <w:t xml:space="preserve">bolo vykonané </w:t>
      </w:r>
      <w:r w:rsidR="00106673">
        <w:t>pri</w:t>
      </w:r>
      <w:r w:rsidR="003A19ED">
        <w:t xml:space="preserve"> hodnote</w:t>
      </w:r>
      <w:r w:rsidR="00106673">
        <w:t xml:space="preserve"> U</w:t>
      </w:r>
      <w:r w:rsidR="00106673" w:rsidRPr="00CC5166">
        <w:rPr>
          <w:vertAlign w:val="subscript"/>
        </w:rPr>
        <w:t>CE</w:t>
      </w:r>
      <w:r w:rsidR="00106673">
        <w:t xml:space="preserve"> = </w:t>
      </w:r>
      <w:r w:rsidR="00C064A6">
        <w:t>3</w:t>
      </w:r>
      <w:r w:rsidR="00106673">
        <w:t>V</w:t>
      </w:r>
      <w:r w:rsidR="003A19ED">
        <w:t>.</w:t>
      </w:r>
      <w:r w:rsidR="00106673">
        <w:t xml:space="preserve"> </w:t>
      </w:r>
      <w:r w:rsidR="003A19ED">
        <w:t>Z</w:t>
      </w:r>
      <w:r w:rsidR="00106673">
        <w:t>vyšovaním napätia na zdroji U</w:t>
      </w:r>
      <w:r w:rsidR="00106673" w:rsidRPr="00CC5166">
        <w:rPr>
          <w:vertAlign w:val="subscript"/>
        </w:rPr>
        <w:t>1</w:t>
      </w:r>
      <w:r w:rsidR="00106673">
        <w:t xml:space="preserve"> </w:t>
      </w:r>
      <w:r w:rsidR="000A1AA1">
        <w:t>sa</w:t>
      </w:r>
      <w:r w:rsidR="00106673">
        <w:t xml:space="preserve"> zvyšoval</w:t>
      </w:r>
      <w:r w:rsidR="000A1AA1">
        <w:t xml:space="preserve"> prúd báze tranzistora</w:t>
      </w:r>
      <w:r w:rsidR="00106673">
        <w:t xml:space="preserve"> I</w:t>
      </w:r>
      <w:r w:rsidR="00106673" w:rsidRPr="00CC5166">
        <w:rPr>
          <w:vertAlign w:val="subscript"/>
        </w:rPr>
        <w:t>B</w:t>
      </w:r>
      <w:r w:rsidR="00106673">
        <w:t xml:space="preserve"> </w:t>
      </w:r>
      <w:r w:rsidR="00C064A6">
        <w:t>nelineárne najprv po</w:t>
      </w:r>
      <w:r w:rsidR="003A19ED">
        <w:t xml:space="preserve"> </w:t>
      </w:r>
      <w:r w:rsidR="00C064A6">
        <w:t>0,1</w:t>
      </w:r>
      <w:r w:rsidR="003A19ED">
        <w:t> µA</w:t>
      </w:r>
      <w:r w:rsidR="00106673">
        <w:t xml:space="preserve">. </w:t>
      </w:r>
      <w:r w:rsidR="000A1AA1">
        <w:t>Boli o</w:t>
      </w:r>
      <w:r w:rsidR="00106673">
        <w:t>dčíta</w:t>
      </w:r>
      <w:r w:rsidR="000A1AA1">
        <w:t xml:space="preserve">né namerané </w:t>
      </w:r>
      <w:r w:rsidR="00106673">
        <w:t>hodnoty I</w:t>
      </w:r>
      <w:r w:rsidR="00106673" w:rsidRPr="00CC5166">
        <w:rPr>
          <w:vertAlign w:val="subscript"/>
        </w:rPr>
        <w:t>B</w:t>
      </w:r>
      <w:r w:rsidR="00106673">
        <w:t>, U</w:t>
      </w:r>
      <w:r w:rsidR="00106673" w:rsidRPr="00CC5166">
        <w:rPr>
          <w:vertAlign w:val="subscript"/>
        </w:rPr>
        <w:t>BE</w:t>
      </w:r>
      <w:r w:rsidR="00106673">
        <w:t>, I</w:t>
      </w:r>
      <w:r w:rsidR="00106673" w:rsidRPr="00CC5166">
        <w:rPr>
          <w:vertAlign w:val="subscript"/>
        </w:rPr>
        <w:t>C</w:t>
      </w:r>
      <w:r w:rsidR="00106673">
        <w:t>, U</w:t>
      </w:r>
      <w:r w:rsidR="00106673" w:rsidRPr="00CC5166">
        <w:rPr>
          <w:vertAlign w:val="subscript"/>
        </w:rPr>
        <w:t>CE</w:t>
      </w:r>
      <w:r w:rsidR="000A1AA1">
        <w:t xml:space="preserve">, hodnoty boli zaznamenané </w:t>
      </w:r>
      <w:r w:rsidR="00106673">
        <w:t>a</w:t>
      </w:r>
      <w:r w:rsidR="000A1AA1">
        <w:t xml:space="preserve"> meranie </w:t>
      </w:r>
      <w:r w:rsidR="00106673">
        <w:t>pokračoval</w:t>
      </w:r>
      <w:r w:rsidR="000A1AA1">
        <w:t>o</w:t>
      </w:r>
      <w:r w:rsidR="00106673">
        <w:t xml:space="preserve"> </w:t>
      </w:r>
      <w:r w:rsidR="003A19ED">
        <w:t>tak, aby I</w:t>
      </w:r>
      <w:r w:rsidR="003A19ED" w:rsidRPr="00CC5166">
        <w:rPr>
          <w:vertAlign w:val="subscript"/>
        </w:rPr>
        <w:t>C</w:t>
      </w:r>
      <w:r w:rsidR="003A19ED">
        <w:t xml:space="preserve"> </w:t>
      </w:r>
      <w:r w:rsidR="000A1AA1">
        <w:t>nepre</w:t>
      </w:r>
      <w:r w:rsidR="003A19ED">
        <w:t>siahol</w:t>
      </w:r>
      <w:r w:rsidR="000A1AA1">
        <w:t xml:space="preserve"> maximálnu</w:t>
      </w:r>
      <w:r w:rsidR="00CE3D70">
        <w:t xml:space="preserve"> hodnotu 7</w:t>
      </w:r>
      <w:r w:rsidR="003A19ED">
        <w:t xml:space="preserve">0 </w:t>
      </w:r>
      <w:proofErr w:type="spellStart"/>
      <w:r w:rsidR="003A19ED">
        <w:t>mA</w:t>
      </w:r>
      <w:proofErr w:type="spellEnd"/>
      <w:r w:rsidR="003A19ED">
        <w:t> a U</w:t>
      </w:r>
      <w:r w:rsidR="003A19ED" w:rsidRPr="00CC5166">
        <w:rPr>
          <w:vertAlign w:val="subscript"/>
        </w:rPr>
        <w:t>CE</w:t>
      </w:r>
      <w:r w:rsidR="003A19ED">
        <w:t xml:space="preserve"> ostalo konštantné = </w:t>
      </w:r>
      <w:r w:rsidR="00CE3D70">
        <w:t>3</w:t>
      </w:r>
      <w:r w:rsidR="003A19ED">
        <w:t xml:space="preserve"> V.</w:t>
      </w:r>
    </w:p>
    <w:p w:rsidR="00106673" w:rsidRDefault="00106673" w:rsidP="000A1AA1">
      <w:pPr>
        <w:jc w:val="both"/>
      </w:pPr>
      <w:r>
        <w:t xml:space="preserve">Toto meranie </w:t>
      </w:r>
      <w:r w:rsidR="000A1AA1">
        <w:t>bolo z</w:t>
      </w:r>
      <w:r>
        <w:t>opakova</w:t>
      </w:r>
      <w:r w:rsidR="000A1AA1">
        <w:t>né</w:t>
      </w:r>
      <w:r>
        <w:t xml:space="preserve"> pre hodnoty U</w:t>
      </w:r>
      <w:r w:rsidRPr="00CC5166">
        <w:rPr>
          <w:vertAlign w:val="subscript"/>
        </w:rPr>
        <w:t>CE</w:t>
      </w:r>
      <w:r>
        <w:t xml:space="preserve"> =</w:t>
      </w:r>
      <w:r w:rsidR="00CC5166">
        <w:t xml:space="preserve"> </w:t>
      </w:r>
      <w:r w:rsidR="00CE3D70">
        <w:t>6</w:t>
      </w:r>
      <w:r>
        <w:t xml:space="preserve"> a </w:t>
      </w:r>
      <w:r w:rsidR="00CE3D70">
        <w:t>9</w:t>
      </w:r>
      <w:r>
        <w:t xml:space="preserve"> V.</w:t>
      </w:r>
    </w:p>
    <w:p w:rsidR="00CC5166" w:rsidRDefault="00CC5166" w:rsidP="00CC5166">
      <w:pPr>
        <w:pStyle w:val="Nadpis1"/>
      </w:pPr>
      <w:r>
        <w:t>Namerané hodnoty</w:t>
      </w:r>
    </w:p>
    <w:p w:rsidR="00CC5166" w:rsidRDefault="00CC5166" w:rsidP="00CC5166"/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E3D70" w:rsidRPr="00CE3D70" w:rsidTr="00CE3D70">
        <w:trPr>
          <w:trHeight w:val="3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BE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</w:t>
            </w:r>
            <w:proofErr w:type="spellStart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mV</w:t>
            </w:r>
            <w:proofErr w:type="spellEnd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B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</w:t>
            </w:r>
            <w:proofErr w:type="spellStart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uA</w:t>
            </w:r>
            <w:proofErr w:type="spellEnd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CE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[V]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C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</w:t>
            </w:r>
            <w:proofErr w:type="spellStart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mA</w:t>
            </w:r>
            <w:proofErr w:type="spellEnd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]</w:t>
            </w:r>
          </w:p>
        </w:tc>
      </w:tr>
      <w:tr w:rsidR="00CE3D70" w:rsidRPr="00CE3D70" w:rsidTr="00CE3D70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CE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= 3 V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B07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0,12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0,17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0,22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0,32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0,46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0,67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0,99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1,30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1,63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2,05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2,61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3,18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3,77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4,31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5,46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6,65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7,83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9,07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0,673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B07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10,2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11,48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14,03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B07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17,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75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B07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80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B07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B07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B07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="00B07A8B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CE3D70" w:rsidRPr="00CE3D70" w:rsidTr="00CE3D7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B07A8B" w:rsidP="00B07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51</w:t>
            </w:r>
            <w:r w:rsidR="00CE3D70"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,9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</w:tbl>
    <w:p w:rsidR="002B4332" w:rsidRDefault="002B4332" w:rsidP="00CC5166"/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E3D70" w:rsidRPr="00CE3D70" w:rsidTr="00CE3D70">
        <w:trPr>
          <w:trHeight w:val="3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BE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</w:t>
            </w:r>
            <w:proofErr w:type="spellStart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mV</w:t>
            </w:r>
            <w:proofErr w:type="spellEnd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B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</w:t>
            </w:r>
            <w:proofErr w:type="spellStart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uA</w:t>
            </w:r>
            <w:proofErr w:type="spellEnd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CE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[V]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C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</w:t>
            </w:r>
            <w:proofErr w:type="spellStart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mA</w:t>
            </w:r>
            <w:proofErr w:type="spellEnd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]</w:t>
            </w:r>
          </w:p>
        </w:tc>
      </w:tr>
      <w:tr w:rsidR="00CE3D70" w:rsidRPr="00CE3D70" w:rsidTr="00CE3D70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CE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= 6 V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0,01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0,04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0,12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0,17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0,22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0,31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0,98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1,32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1,64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2,10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2,67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3,25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3,85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4,44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5,73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6,95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8,23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9,40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10,75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12,09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14,75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18,90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25,70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32,30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39,50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0,693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46,00</w:t>
            </w:r>
          </w:p>
        </w:tc>
      </w:tr>
      <w:tr w:rsidR="00CE3D70" w:rsidRPr="00CE3D70" w:rsidTr="00CE3D7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6,009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53,00</w:t>
            </w:r>
          </w:p>
        </w:tc>
      </w:tr>
    </w:tbl>
    <w:p w:rsidR="00CE3D70" w:rsidRDefault="00CE3D70" w:rsidP="00CC5166"/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E3D70" w:rsidRPr="00CE3D70" w:rsidTr="00CE3D70">
        <w:trPr>
          <w:trHeight w:val="3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BE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</w:t>
            </w:r>
            <w:proofErr w:type="spellStart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mV</w:t>
            </w:r>
            <w:proofErr w:type="spellEnd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B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</w:t>
            </w:r>
            <w:proofErr w:type="spellStart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uA</w:t>
            </w:r>
            <w:proofErr w:type="spellEnd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CE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[V]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C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[</w:t>
            </w:r>
            <w:proofErr w:type="spellStart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mA</w:t>
            </w:r>
            <w:proofErr w:type="spellEnd"/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]</w:t>
            </w:r>
          </w:p>
        </w:tc>
      </w:tr>
      <w:tr w:rsidR="00CE3D70" w:rsidRPr="00CE3D70" w:rsidTr="00CE3D70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sk-SK"/>
              </w:rPr>
              <w:t>CE</w:t>
            </w:r>
            <w:r w:rsidRPr="00CE3D7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= 9 V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0,01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0,01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0,07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0,12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0,18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0,22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0,31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0,49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1,34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1,67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2,13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2,69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3,32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3,91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4,54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5,82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7,17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8,50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9,78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11,25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12,56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15,37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19,66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26,96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34,63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42,30</w:t>
            </w:r>
          </w:p>
        </w:tc>
      </w:tr>
      <w:tr w:rsidR="00CE3D70" w:rsidRPr="00CE3D70" w:rsidTr="00CE3D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50,11</w:t>
            </w:r>
          </w:p>
        </w:tc>
      </w:tr>
      <w:tr w:rsidR="00CE3D70" w:rsidRPr="00CE3D70" w:rsidTr="00CE3D7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0,759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D70" w:rsidRPr="00CE3D70" w:rsidRDefault="00CE3D70" w:rsidP="00CE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3D70">
              <w:rPr>
                <w:rFonts w:ascii="Calibri" w:eastAsia="Times New Roman" w:hAnsi="Calibri" w:cs="Calibri"/>
                <w:color w:val="000000"/>
                <w:lang w:eastAsia="sk-SK"/>
              </w:rPr>
              <w:t>58,60</w:t>
            </w:r>
          </w:p>
        </w:tc>
      </w:tr>
    </w:tbl>
    <w:p w:rsidR="00CE3D70" w:rsidRDefault="00CE3D70" w:rsidP="00CC5166"/>
    <w:p w:rsidR="002B4332" w:rsidRDefault="002B4332" w:rsidP="00CC5166">
      <w:pPr>
        <w:pStyle w:val="Nadpis1"/>
      </w:pPr>
      <w:r>
        <w:lastRenderedPageBreak/>
        <w:t>Grafické zobrazenie nameraných hodnôt</w:t>
      </w:r>
    </w:p>
    <w:p w:rsidR="003F5AB0" w:rsidRDefault="00CE3D70" w:rsidP="003F5AB0">
      <w:r>
        <w:rPr>
          <w:noProof/>
          <w:lang w:eastAsia="sk-SK"/>
        </w:rPr>
        <w:drawing>
          <wp:inline distT="0" distB="0" distL="0" distR="0" wp14:anchorId="1164F40C" wp14:editId="6ACEFE69">
            <wp:extent cx="5760720" cy="2608580"/>
            <wp:effectExtent l="0" t="0" r="11430" b="127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5AB0" w:rsidRDefault="00CE3D70" w:rsidP="003F5AB0">
      <w:r>
        <w:rPr>
          <w:noProof/>
          <w:lang w:eastAsia="sk-SK"/>
        </w:rPr>
        <w:drawing>
          <wp:inline distT="0" distB="0" distL="0" distR="0" wp14:anchorId="3B6155B4" wp14:editId="0AB21097">
            <wp:extent cx="5760720" cy="2608580"/>
            <wp:effectExtent l="0" t="0" r="11430" b="127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5AB0" w:rsidRDefault="003F5AB0" w:rsidP="00810127">
      <w:pPr>
        <w:jc w:val="both"/>
      </w:pPr>
      <w:r>
        <w:t>Sumárna prevodová charakteristika zobrazuje závislosť prúdu kolektora I</w:t>
      </w:r>
      <w:r w:rsidRPr="003F5AB0">
        <w:rPr>
          <w:vertAlign w:val="subscript"/>
        </w:rPr>
        <w:t>C</w:t>
      </w:r>
      <w:r>
        <w:t xml:space="preserve"> od prúdu báze I</w:t>
      </w:r>
      <w:r w:rsidRPr="003F5AB0">
        <w:rPr>
          <w:vertAlign w:val="subscript"/>
        </w:rPr>
        <w:t>B</w:t>
      </w:r>
      <w:r>
        <w:t>. Z grafu je zrejmé, že prevodová charakteristika je veľmi málo závislá od hodnoty napätia U</w:t>
      </w:r>
      <w:r w:rsidRPr="003F5AB0">
        <w:rPr>
          <w:vertAlign w:val="subscript"/>
        </w:rPr>
        <w:t>CE</w:t>
      </w:r>
      <w:r>
        <w:t xml:space="preserve">. Ďalej grafické znázornenie ukazuje, že meranie sme vykonali v lineárnej oblasti prevodových charakteristík. </w:t>
      </w:r>
    </w:p>
    <w:p w:rsidR="003F5AB0" w:rsidRPr="003F5AB0" w:rsidRDefault="003F5AB0" w:rsidP="003F5AB0"/>
    <w:p w:rsidR="00CC5166" w:rsidRDefault="00CC5166" w:rsidP="00CC5166">
      <w:pPr>
        <w:pStyle w:val="Nadpis1"/>
      </w:pPr>
      <w:r>
        <w:t>Zhodnotenie meran</w:t>
      </w:r>
      <w:r w:rsidR="002B4332">
        <w:t>ia</w:t>
      </w:r>
    </w:p>
    <w:p w:rsidR="003F5AB0" w:rsidRPr="003F5AB0" w:rsidRDefault="003F5AB0" w:rsidP="003F5AB0"/>
    <w:p w:rsidR="00810127" w:rsidRDefault="00781FAD" w:rsidP="00810127">
      <w:pPr>
        <w:jc w:val="both"/>
      </w:pPr>
      <w:r>
        <w:t>Meraním sme potvrdili lineárnu závislosť kolektorového prúdu bipolárneho tranzistora I</w:t>
      </w:r>
      <w:r w:rsidRPr="00063F19">
        <w:rPr>
          <w:vertAlign w:val="subscript"/>
        </w:rPr>
        <w:t>C</w:t>
      </w:r>
      <w:r>
        <w:t xml:space="preserve"> od jeho bázového prúdu</w:t>
      </w:r>
      <w:r w:rsidR="00063F19">
        <w:t xml:space="preserve"> I</w:t>
      </w:r>
      <w:r w:rsidR="00063F19" w:rsidRPr="00063F19">
        <w:rPr>
          <w:vertAlign w:val="subscript"/>
        </w:rPr>
        <w:t>B</w:t>
      </w:r>
      <w:r>
        <w:t xml:space="preserve">. </w:t>
      </w:r>
      <w:r w:rsidR="00063F19">
        <w:t>Koeficient, nazvaný prúdový zosilňovací činiteľ h</w:t>
      </w:r>
      <w:r w:rsidR="00063F19" w:rsidRPr="00063F19">
        <w:rPr>
          <w:vertAlign w:val="subscript"/>
        </w:rPr>
        <w:t>21E</w:t>
      </w:r>
      <w:r w:rsidR="00063F19">
        <w:t xml:space="preserve"> je mierne závislý od napätia kolektor – </w:t>
      </w:r>
      <w:proofErr w:type="spellStart"/>
      <w:r w:rsidR="00063F19">
        <w:t>emitor</w:t>
      </w:r>
      <w:proofErr w:type="spellEnd"/>
      <w:r w:rsidR="00063F19">
        <w:t xml:space="preserve"> U</w:t>
      </w:r>
      <w:r w:rsidR="00063F19" w:rsidRPr="00063F19">
        <w:rPr>
          <w:vertAlign w:val="subscript"/>
        </w:rPr>
        <w:t>CE</w:t>
      </w:r>
      <w:r w:rsidR="00063F19">
        <w:t xml:space="preserve">, čo potvrdzuje grafická závislosť z bodu </w:t>
      </w:r>
      <w:r w:rsidR="00810127">
        <w:t>6</w:t>
      </w:r>
      <w:r w:rsidR="00063F19">
        <w:t xml:space="preserve">. tohto protokolu. </w:t>
      </w:r>
      <w:r w:rsidR="00810127">
        <w:t>Z nameraných hodnôt je výpočtom možné zistiť parameter h</w:t>
      </w:r>
      <w:r w:rsidR="00810127" w:rsidRPr="00810127">
        <w:rPr>
          <w:vertAlign w:val="subscript"/>
        </w:rPr>
        <w:t>21E</w:t>
      </w:r>
      <w:r w:rsidR="00810127">
        <w:t xml:space="preserve"> = 1</w:t>
      </w:r>
      <w:r w:rsidR="00C03BDE">
        <w:t>1</w:t>
      </w:r>
      <w:r w:rsidR="00810127">
        <w:t>7.</w:t>
      </w:r>
    </w:p>
    <w:p w:rsidR="000E59CE" w:rsidRPr="00CE58A4" w:rsidRDefault="00063F19" w:rsidP="00CE58A4">
      <w:r>
        <w:lastRenderedPageBreak/>
        <w:t xml:space="preserve">Meranie prebehlo úspešne, </w:t>
      </w:r>
      <w:r w:rsidR="00810127">
        <w:t xml:space="preserve">viac </w:t>
      </w:r>
      <w:r>
        <w:t>meran</w:t>
      </w:r>
      <w:r w:rsidR="00810127">
        <w:t>í pre rôzne hodnoty U</w:t>
      </w:r>
      <w:r w:rsidR="00810127" w:rsidRPr="00063F19">
        <w:rPr>
          <w:vertAlign w:val="subscript"/>
        </w:rPr>
        <w:t>CE</w:t>
      </w:r>
      <w:r w:rsidR="00810127">
        <w:t xml:space="preserve"> sme</w:t>
      </w:r>
      <w:r>
        <w:t xml:space="preserve"> nevykonali pre časovú </w:t>
      </w:r>
      <w:r w:rsidR="00C064A6">
        <w:t>nároč</w:t>
      </w:r>
      <w:r>
        <w:t>nosť</w:t>
      </w:r>
      <w:r w:rsidR="00C064A6">
        <w:t xml:space="preserve"> merania a veľký počet nameraných hodnôt pri jednom napätí U</w:t>
      </w:r>
      <w:r w:rsidR="00C064A6" w:rsidRPr="00C064A6">
        <w:rPr>
          <w:vertAlign w:val="subscript"/>
        </w:rPr>
        <w:t>CE</w:t>
      </w:r>
      <w:r>
        <w:t>.</w:t>
      </w:r>
    </w:p>
    <w:sectPr w:rsidR="000E59CE" w:rsidRPr="00CE58A4" w:rsidSect="00E616C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40DAE"/>
    <w:multiLevelType w:val="hybridMultilevel"/>
    <w:tmpl w:val="ABAC8970"/>
    <w:lvl w:ilvl="0" w:tplc="0DA6078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C0"/>
    <w:rsid w:val="00063F19"/>
    <w:rsid w:val="000A1AA1"/>
    <w:rsid w:val="000E59CE"/>
    <w:rsid w:val="00106673"/>
    <w:rsid w:val="00112955"/>
    <w:rsid w:val="001E2AC7"/>
    <w:rsid w:val="002B4332"/>
    <w:rsid w:val="003A19ED"/>
    <w:rsid w:val="003F5AB0"/>
    <w:rsid w:val="004C42CF"/>
    <w:rsid w:val="006F590E"/>
    <w:rsid w:val="00781FAD"/>
    <w:rsid w:val="00804E5C"/>
    <w:rsid w:val="00810127"/>
    <w:rsid w:val="008738C0"/>
    <w:rsid w:val="00A71FF5"/>
    <w:rsid w:val="00B07A8B"/>
    <w:rsid w:val="00B8182F"/>
    <w:rsid w:val="00C03BDE"/>
    <w:rsid w:val="00C064A6"/>
    <w:rsid w:val="00CC5166"/>
    <w:rsid w:val="00CE3D70"/>
    <w:rsid w:val="00CE58A4"/>
    <w:rsid w:val="00E6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ECF5A-685D-4B7E-A608-2C57AED5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616CB"/>
    <w:pPr>
      <w:keepNext/>
      <w:keepLines/>
      <w:numPr>
        <w:numId w:val="1"/>
      </w:numPr>
      <w:spacing w:before="240" w:after="0"/>
      <w:outlineLvl w:val="0"/>
    </w:pPr>
    <w:rPr>
      <w:rFonts w:ascii="Book Antiqua" w:eastAsiaTheme="majorEastAsia" w:hAnsi="Book Antiqua" w:cstheme="majorBidi"/>
      <w:color w:val="2E74B5" w:themeColor="accent1" w:themeShade="BF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16CB"/>
    <w:rPr>
      <w:rFonts w:ascii="Book Antiqua" w:eastAsiaTheme="majorEastAsia" w:hAnsi="Book Antiqua" w:cstheme="majorBidi"/>
      <w:color w:val="2E74B5" w:themeColor="accent1" w:themeShade="BF"/>
      <w:sz w:val="48"/>
      <w:szCs w:val="48"/>
    </w:rPr>
  </w:style>
  <w:style w:type="table" w:styleId="Mriekatabuky">
    <w:name w:val="Table Grid"/>
    <w:basedOn w:val="Normlnatabuka"/>
    <w:uiPriority w:val="39"/>
    <w:rsid w:val="000A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J:\SWEL\%23Projekty\Vajak\Merania\merani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J:\SWEL\%23Projekty\Vajak\Merania\merani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k-SK" baseline="0">
                <a:solidFill>
                  <a:sysClr val="windowText" lastClr="000000"/>
                </a:solidFill>
              </a:rPr>
              <a:t>Prevodové charakteristiky bipolárneho tranzistora typu NPN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Hárok1!$E$3</c:f>
              <c:strCache>
                <c:ptCount val="1"/>
                <c:pt idx="0">
                  <c:v>UCE = 3 V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Hárok1!$E$4:$E$37</c:f>
              <c:numCache>
                <c:formatCode>0.00</c:formatCode>
                <c:ptCount val="34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0.04</c:v>
                </c:pt>
                <c:pt idx="6">
                  <c:v>7.0000000000000007E-2</c:v>
                </c:pt>
                <c:pt idx="7">
                  <c:v>0.12</c:v>
                </c:pt>
                <c:pt idx="8">
                  <c:v>0.16</c:v>
                </c:pt>
                <c:pt idx="9">
                  <c:v>0.21</c:v>
                </c:pt>
                <c:pt idx="10">
                  <c:v>0.31</c:v>
                </c:pt>
                <c:pt idx="11">
                  <c:v>0.46</c:v>
                </c:pt>
                <c:pt idx="12">
                  <c:v>0.66</c:v>
                </c:pt>
                <c:pt idx="13">
                  <c:v>0.97</c:v>
                </c:pt>
                <c:pt idx="14">
                  <c:v>1.28</c:v>
                </c:pt>
                <c:pt idx="15">
                  <c:v>1.62</c:v>
                </c:pt>
                <c:pt idx="16">
                  <c:v>2.06</c:v>
                </c:pt>
                <c:pt idx="17">
                  <c:v>2.61</c:v>
                </c:pt>
                <c:pt idx="18">
                  <c:v>3.18</c:v>
                </c:pt>
                <c:pt idx="19">
                  <c:v>3.77</c:v>
                </c:pt>
                <c:pt idx="20">
                  <c:v>4.3499999999999996</c:v>
                </c:pt>
                <c:pt idx="21">
                  <c:v>5.54</c:v>
                </c:pt>
                <c:pt idx="22">
                  <c:v>6.73</c:v>
                </c:pt>
                <c:pt idx="23">
                  <c:v>7.96</c:v>
                </c:pt>
                <c:pt idx="24">
                  <c:v>9.23</c:v>
                </c:pt>
                <c:pt idx="25">
                  <c:v>10.42</c:v>
                </c:pt>
                <c:pt idx="26">
                  <c:v>11.67</c:v>
                </c:pt>
                <c:pt idx="27">
                  <c:v>14.22</c:v>
                </c:pt>
                <c:pt idx="28">
                  <c:v>17.829999999999998</c:v>
                </c:pt>
                <c:pt idx="29">
                  <c:v>24.46</c:v>
                </c:pt>
                <c:pt idx="30">
                  <c:v>31.02</c:v>
                </c:pt>
                <c:pt idx="31">
                  <c:v>38.159999999999997</c:v>
                </c:pt>
                <c:pt idx="32">
                  <c:v>44.33</c:v>
                </c:pt>
                <c:pt idx="33">
                  <c:v>48.9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Hárok1!$F$3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Hárok1!$F$4:$F$37</c:f>
            </c:numRef>
          </c:yVal>
          <c:smooth val="0"/>
        </c:ser>
        <c:ser>
          <c:idx val="2"/>
          <c:order val="2"/>
          <c:tx>
            <c:strRef>
              <c:f>Hárok1!$G$3</c:f>
              <c:strCache>
                <c:ptCount val="1"/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Hárok1!$G$4:$G$37</c:f>
            </c:numRef>
          </c:yVal>
          <c:smooth val="0"/>
        </c:ser>
        <c:ser>
          <c:idx val="3"/>
          <c:order val="3"/>
          <c:tx>
            <c:strRef>
              <c:f>Hárok1!$H$3</c:f>
              <c:strCache>
                <c:ptCount val="1"/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Hárok1!$H$4:$H$37</c:f>
            </c:numRef>
          </c:yVal>
          <c:smooth val="0"/>
        </c:ser>
        <c:ser>
          <c:idx val="4"/>
          <c:order val="4"/>
          <c:tx>
            <c:strRef>
              <c:f>Hárok1!$I$3</c:f>
              <c:strCache>
                <c:ptCount val="1"/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Hárok1!$I$4:$I$37</c:f>
            </c:numRef>
          </c:yVal>
          <c:smooth val="0"/>
        </c:ser>
        <c:ser>
          <c:idx val="5"/>
          <c:order val="5"/>
          <c:tx>
            <c:strRef>
              <c:f>Hárok1!$J$3</c:f>
              <c:strCache>
                <c:ptCount val="1"/>
                <c:pt idx="0">
                  <c:v>UCE = 6 V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Hárok1!$J$4:$J$37</c:f>
              <c:numCache>
                <c:formatCode>0.00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0.04</c:v>
                </c:pt>
                <c:pt idx="6">
                  <c:v>7.0000000000000007E-2</c:v>
                </c:pt>
                <c:pt idx="7">
                  <c:v>0.12</c:v>
                </c:pt>
                <c:pt idx="8">
                  <c:v>0.17</c:v>
                </c:pt>
                <c:pt idx="9">
                  <c:v>0.22</c:v>
                </c:pt>
                <c:pt idx="10">
                  <c:v>0.31</c:v>
                </c:pt>
                <c:pt idx="11">
                  <c:v>0.47</c:v>
                </c:pt>
                <c:pt idx="12">
                  <c:v>0.67</c:v>
                </c:pt>
                <c:pt idx="13">
                  <c:v>0.98</c:v>
                </c:pt>
                <c:pt idx="14">
                  <c:v>1.32</c:v>
                </c:pt>
                <c:pt idx="15">
                  <c:v>1.64</c:v>
                </c:pt>
                <c:pt idx="16">
                  <c:v>2.1</c:v>
                </c:pt>
                <c:pt idx="17">
                  <c:v>2.67</c:v>
                </c:pt>
                <c:pt idx="18">
                  <c:v>3.25</c:v>
                </c:pt>
                <c:pt idx="19">
                  <c:v>3.85</c:v>
                </c:pt>
                <c:pt idx="20">
                  <c:v>4.4400000000000004</c:v>
                </c:pt>
                <c:pt idx="21">
                  <c:v>5.73</c:v>
                </c:pt>
                <c:pt idx="22">
                  <c:v>6.95</c:v>
                </c:pt>
                <c:pt idx="23">
                  <c:v>8.23</c:v>
                </c:pt>
                <c:pt idx="24">
                  <c:v>9.4</c:v>
                </c:pt>
                <c:pt idx="25">
                  <c:v>10.75</c:v>
                </c:pt>
                <c:pt idx="26">
                  <c:v>12.09</c:v>
                </c:pt>
                <c:pt idx="27">
                  <c:v>14.75</c:v>
                </c:pt>
                <c:pt idx="28">
                  <c:v>18.899999999999999</c:v>
                </c:pt>
                <c:pt idx="29">
                  <c:v>25.7</c:v>
                </c:pt>
                <c:pt idx="30">
                  <c:v>32.299999999999997</c:v>
                </c:pt>
                <c:pt idx="31">
                  <c:v>39.5</c:v>
                </c:pt>
                <c:pt idx="32">
                  <c:v>46</c:v>
                </c:pt>
                <c:pt idx="33">
                  <c:v>53</c:v>
                </c:pt>
              </c:numCache>
            </c:numRef>
          </c:yVal>
          <c:smooth val="0"/>
        </c:ser>
        <c:ser>
          <c:idx val="6"/>
          <c:order val="6"/>
          <c:tx>
            <c:strRef>
              <c:f>Hárok1!$K$3</c:f>
              <c:strCache>
                <c:ptCount val="1"/>
              </c:strCache>
            </c:strRef>
          </c:tx>
          <c:spPr>
            <a:ln w="19050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Hárok1!$K$4:$K$37</c:f>
            </c:numRef>
          </c:yVal>
          <c:smooth val="0"/>
        </c:ser>
        <c:ser>
          <c:idx val="7"/>
          <c:order val="7"/>
          <c:tx>
            <c:strRef>
              <c:f>Hárok1!$L$3</c:f>
              <c:strCache>
                <c:ptCount val="1"/>
              </c:strCache>
            </c:strRef>
          </c:tx>
          <c:spPr>
            <a:ln w="1905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Hárok1!$L$4:$L$37</c:f>
            </c:numRef>
          </c:yVal>
          <c:smooth val="0"/>
        </c:ser>
        <c:ser>
          <c:idx val="8"/>
          <c:order val="8"/>
          <c:tx>
            <c:strRef>
              <c:f>Hárok1!$M$3</c:f>
              <c:strCache>
                <c:ptCount val="1"/>
              </c:strCache>
            </c:strRef>
          </c:tx>
          <c:spPr>
            <a:ln w="19050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Hárok1!$M$4:$M$37</c:f>
            </c:numRef>
          </c:yVal>
          <c:smooth val="0"/>
        </c:ser>
        <c:ser>
          <c:idx val="9"/>
          <c:order val="9"/>
          <c:tx>
            <c:strRef>
              <c:f>Hárok1!$N$3</c:f>
              <c:strCache>
                <c:ptCount val="1"/>
              </c:strCache>
            </c:strRef>
          </c:tx>
          <c:spPr>
            <a:ln w="19050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Hárok1!$N$4:$N$37</c:f>
            </c:numRef>
          </c:yVal>
          <c:smooth val="0"/>
        </c:ser>
        <c:ser>
          <c:idx val="10"/>
          <c:order val="10"/>
          <c:tx>
            <c:strRef>
              <c:f>Hárok1!$O$3</c:f>
              <c:strCache>
                <c:ptCount val="1"/>
                <c:pt idx="0">
                  <c:v>UCE = 9 V</c:v>
                </c:pt>
              </c:strCache>
            </c:strRef>
          </c:tx>
          <c:spPr>
            <a:ln w="19050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Hárok1!$O$4:$O$37</c:f>
              <c:numCache>
                <c:formatCode>0.00</c:formatCode>
                <c:ptCount val="34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0.05</c:v>
                </c:pt>
                <c:pt idx="6">
                  <c:v>7.0000000000000007E-2</c:v>
                </c:pt>
                <c:pt idx="7">
                  <c:v>0.12</c:v>
                </c:pt>
                <c:pt idx="8">
                  <c:v>0.18</c:v>
                </c:pt>
                <c:pt idx="9">
                  <c:v>0.22</c:v>
                </c:pt>
                <c:pt idx="10">
                  <c:v>0.31</c:v>
                </c:pt>
                <c:pt idx="11">
                  <c:v>0.49</c:v>
                </c:pt>
                <c:pt idx="12">
                  <c:v>0.75</c:v>
                </c:pt>
                <c:pt idx="13">
                  <c:v>1</c:v>
                </c:pt>
                <c:pt idx="14">
                  <c:v>1.34</c:v>
                </c:pt>
                <c:pt idx="15">
                  <c:v>1.67</c:v>
                </c:pt>
                <c:pt idx="16">
                  <c:v>2.13</c:v>
                </c:pt>
                <c:pt idx="17">
                  <c:v>2.69</c:v>
                </c:pt>
                <c:pt idx="18">
                  <c:v>3.32</c:v>
                </c:pt>
                <c:pt idx="19">
                  <c:v>3.91</c:v>
                </c:pt>
                <c:pt idx="20">
                  <c:v>4.54</c:v>
                </c:pt>
                <c:pt idx="21">
                  <c:v>5.82</c:v>
                </c:pt>
                <c:pt idx="22">
                  <c:v>7.17</c:v>
                </c:pt>
                <c:pt idx="23">
                  <c:v>8.5</c:v>
                </c:pt>
                <c:pt idx="24">
                  <c:v>9.7799999999999994</c:v>
                </c:pt>
                <c:pt idx="25">
                  <c:v>11.25</c:v>
                </c:pt>
                <c:pt idx="26">
                  <c:v>12.56</c:v>
                </c:pt>
                <c:pt idx="27">
                  <c:v>15.37</c:v>
                </c:pt>
                <c:pt idx="28">
                  <c:v>19.66</c:v>
                </c:pt>
                <c:pt idx="29">
                  <c:v>26.96</c:v>
                </c:pt>
                <c:pt idx="30">
                  <c:v>34.630000000000003</c:v>
                </c:pt>
                <c:pt idx="31">
                  <c:v>42.3</c:v>
                </c:pt>
                <c:pt idx="32">
                  <c:v>50.11</c:v>
                </c:pt>
                <c:pt idx="33">
                  <c:v>58.6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8722824"/>
        <c:axId val="478724000"/>
      </c:scatterChart>
      <c:valAx>
        <c:axId val="478722824"/>
        <c:scaling>
          <c:logBase val="10"/>
          <c:orientation val="minMax"/>
          <c:max val="4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78724000"/>
        <c:crosses val="autoZero"/>
        <c:crossBetween val="midCat"/>
      </c:valAx>
      <c:valAx>
        <c:axId val="47872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78722824"/>
        <c:crossesAt val="0.1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278459378624182"/>
          <c:y val="0.15862216618693056"/>
          <c:w val="0.320950195863"/>
          <c:h val="0.15659664898383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k-SK" baseline="0">
                <a:solidFill>
                  <a:sysClr val="windowText" lastClr="000000"/>
                </a:solidFill>
              </a:rPr>
              <a:t>Prevodové charakteristiky bipolárneho tranzistora typu NPN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Hárok1!$E$3</c:f>
              <c:strCache>
                <c:ptCount val="1"/>
                <c:pt idx="0">
                  <c:v>UCE = 3 V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Hárok1!$E$4:$E$37</c:f>
              <c:numCache>
                <c:formatCode>0.00</c:formatCode>
                <c:ptCount val="34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0.04</c:v>
                </c:pt>
                <c:pt idx="6">
                  <c:v>7.0000000000000007E-2</c:v>
                </c:pt>
                <c:pt idx="7">
                  <c:v>0.12</c:v>
                </c:pt>
                <c:pt idx="8">
                  <c:v>0.16</c:v>
                </c:pt>
                <c:pt idx="9">
                  <c:v>0.21</c:v>
                </c:pt>
                <c:pt idx="10">
                  <c:v>0.31</c:v>
                </c:pt>
                <c:pt idx="11">
                  <c:v>0.46</c:v>
                </c:pt>
                <c:pt idx="12">
                  <c:v>0.66</c:v>
                </c:pt>
                <c:pt idx="13">
                  <c:v>0.97</c:v>
                </c:pt>
                <c:pt idx="14">
                  <c:v>1.28</c:v>
                </c:pt>
                <c:pt idx="15">
                  <c:v>1.62</c:v>
                </c:pt>
                <c:pt idx="16">
                  <c:v>2.06</c:v>
                </c:pt>
                <c:pt idx="17">
                  <c:v>2.61</c:v>
                </c:pt>
                <c:pt idx="18">
                  <c:v>3.18</c:v>
                </c:pt>
                <c:pt idx="19">
                  <c:v>3.77</c:v>
                </c:pt>
                <c:pt idx="20">
                  <c:v>4.3499999999999996</c:v>
                </c:pt>
                <c:pt idx="21">
                  <c:v>5.54</c:v>
                </c:pt>
                <c:pt idx="22">
                  <c:v>6.73</c:v>
                </c:pt>
                <c:pt idx="23">
                  <c:v>7.96</c:v>
                </c:pt>
                <c:pt idx="24">
                  <c:v>9.23</c:v>
                </c:pt>
                <c:pt idx="25">
                  <c:v>10.42</c:v>
                </c:pt>
                <c:pt idx="26">
                  <c:v>11.67</c:v>
                </c:pt>
                <c:pt idx="27">
                  <c:v>14.22</c:v>
                </c:pt>
                <c:pt idx="28">
                  <c:v>17.829999999999998</c:v>
                </c:pt>
                <c:pt idx="29">
                  <c:v>24.46</c:v>
                </c:pt>
                <c:pt idx="30">
                  <c:v>31.02</c:v>
                </c:pt>
                <c:pt idx="31">
                  <c:v>38.159999999999997</c:v>
                </c:pt>
                <c:pt idx="32">
                  <c:v>44.33</c:v>
                </c:pt>
                <c:pt idx="33">
                  <c:v>48.9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Hárok1!$F$3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Hárok1!$F$4:$F$37</c:f>
            </c:numRef>
          </c:yVal>
          <c:smooth val="0"/>
        </c:ser>
        <c:ser>
          <c:idx val="2"/>
          <c:order val="2"/>
          <c:tx>
            <c:strRef>
              <c:f>Hárok1!$G$3</c:f>
              <c:strCache>
                <c:ptCount val="1"/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Hárok1!$G$4:$G$37</c:f>
            </c:numRef>
          </c:yVal>
          <c:smooth val="0"/>
        </c:ser>
        <c:ser>
          <c:idx val="3"/>
          <c:order val="3"/>
          <c:tx>
            <c:strRef>
              <c:f>Hárok1!$H$3</c:f>
              <c:strCache>
                <c:ptCount val="1"/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Hárok1!$H$4:$H$37</c:f>
            </c:numRef>
          </c:yVal>
          <c:smooth val="0"/>
        </c:ser>
        <c:ser>
          <c:idx val="4"/>
          <c:order val="4"/>
          <c:tx>
            <c:strRef>
              <c:f>Hárok1!$I$3</c:f>
              <c:strCache>
                <c:ptCount val="1"/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Hárok1!$I$4:$I$37</c:f>
            </c:numRef>
          </c:yVal>
          <c:smooth val="0"/>
        </c:ser>
        <c:ser>
          <c:idx val="5"/>
          <c:order val="5"/>
          <c:tx>
            <c:strRef>
              <c:f>Hárok1!$J$3</c:f>
              <c:strCache>
                <c:ptCount val="1"/>
                <c:pt idx="0">
                  <c:v>UCE = 6 V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Hárok1!$J$4:$J$37</c:f>
              <c:numCache>
                <c:formatCode>0.00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0.04</c:v>
                </c:pt>
                <c:pt idx="6">
                  <c:v>7.0000000000000007E-2</c:v>
                </c:pt>
                <c:pt idx="7">
                  <c:v>0.12</c:v>
                </c:pt>
                <c:pt idx="8">
                  <c:v>0.17</c:v>
                </c:pt>
                <c:pt idx="9">
                  <c:v>0.22</c:v>
                </c:pt>
                <c:pt idx="10">
                  <c:v>0.31</c:v>
                </c:pt>
                <c:pt idx="11">
                  <c:v>0.47</c:v>
                </c:pt>
                <c:pt idx="12">
                  <c:v>0.67</c:v>
                </c:pt>
                <c:pt idx="13">
                  <c:v>0.98</c:v>
                </c:pt>
                <c:pt idx="14">
                  <c:v>1.32</c:v>
                </c:pt>
                <c:pt idx="15">
                  <c:v>1.64</c:v>
                </c:pt>
                <c:pt idx="16">
                  <c:v>2.1</c:v>
                </c:pt>
                <c:pt idx="17">
                  <c:v>2.67</c:v>
                </c:pt>
                <c:pt idx="18">
                  <c:v>3.25</c:v>
                </c:pt>
                <c:pt idx="19">
                  <c:v>3.85</c:v>
                </c:pt>
                <c:pt idx="20">
                  <c:v>4.4400000000000004</c:v>
                </c:pt>
                <c:pt idx="21">
                  <c:v>5.73</c:v>
                </c:pt>
                <c:pt idx="22">
                  <c:v>6.95</c:v>
                </c:pt>
                <c:pt idx="23">
                  <c:v>8.23</c:v>
                </c:pt>
                <c:pt idx="24">
                  <c:v>9.4</c:v>
                </c:pt>
                <c:pt idx="25">
                  <c:v>10.75</c:v>
                </c:pt>
                <c:pt idx="26">
                  <c:v>12.09</c:v>
                </c:pt>
                <c:pt idx="27">
                  <c:v>14.75</c:v>
                </c:pt>
                <c:pt idx="28">
                  <c:v>18.899999999999999</c:v>
                </c:pt>
                <c:pt idx="29">
                  <c:v>25.7</c:v>
                </c:pt>
                <c:pt idx="30">
                  <c:v>32.299999999999997</c:v>
                </c:pt>
                <c:pt idx="31">
                  <c:v>39.5</c:v>
                </c:pt>
                <c:pt idx="32">
                  <c:v>46</c:v>
                </c:pt>
                <c:pt idx="33">
                  <c:v>53</c:v>
                </c:pt>
              </c:numCache>
            </c:numRef>
          </c:yVal>
          <c:smooth val="0"/>
        </c:ser>
        <c:ser>
          <c:idx val="6"/>
          <c:order val="6"/>
          <c:tx>
            <c:strRef>
              <c:f>Hárok1!$K$3</c:f>
              <c:strCache>
                <c:ptCount val="1"/>
              </c:strCache>
            </c:strRef>
          </c:tx>
          <c:spPr>
            <a:ln w="19050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Hárok1!$K$4:$K$37</c:f>
            </c:numRef>
          </c:yVal>
          <c:smooth val="0"/>
        </c:ser>
        <c:ser>
          <c:idx val="7"/>
          <c:order val="7"/>
          <c:tx>
            <c:strRef>
              <c:f>Hárok1!$L$3</c:f>
              <c:strCache>
                <c:ptCount val="1"/>
              </c:strCache>
            </c:strRef>
          </c:tx>
          <c:spPr>
            <a:ln w="1905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Hárok1!$L$4:$L$37</c:f>
            </c:numRef>
          </c:yVal>
          <c:smooth val="0"/>
        </c:ser>
        <c:ser>
          <c:idx val="8"/>
          <c:order val="8"/>
          <c:tx>
            <c:strRef>
              <c:f>Hárok1!$M$3</c:f>
              <c:strCache>
                <c:ptCount val="1"/>
              </c:strCache>
            </c:strRef>
          </c:tx>
          <c:spPr>
            <a:ln w="19050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Hárok1!$M$4:$M$37</c:f>
            </c:numRef>
          </c:yVal>
          <c:smooth val="0"/>
        </c:ser>
        <c:ser>
          <c:idx val="9"/>
          <c:order val="9"/>
          <c:tx>
            <c:strRef>
              <c:f>Hárok1!$N$3</c:f>
              <c:strCache>
                <c:ptCount val="1"/>
              </c:strCache>
            </c:strRef>
          </c:tx>
          <c:spPr>
            <a:ln w="19050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Hárok1!$N$4:$N$37</c:f>
            </c:numRef>
          </c:yVal>
          <c:smooth val="0"/>
        </c:ser>
        <c:ser>
          <c:idx val="10"/>
          <c:order val="10"/>
          <c:tx>
            <c:strRef>
              <c:f>Hárok1!$O$3</c:f>
              <c:strCache>
                <c:ptCount val="1"/>
                <c:pt idx="0">
                  <c:v>UCE = 9 V</c:v>
                </c:pt>
              </c:strCache>
            </c:strRef>
          </c:tx>
          <c:spPr>
            <a:ln w="19050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[meranie.xlsx]Hárok1!$C$4:$D$37</c:f>
              <c:numCache>
                <c:formatCode>0.0</c:formatCode>
                <c:ptCount val="3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3.5</c:v>
                </c:pt>
                <c:pt idx="11">
                  <c:v>5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16</c:v>
                </c:pt>
                <c:pt idx="16">
                  <c:v>20</c:v>
                </c:pt>
                <c:pt idx="17">
                  <c:v>25</c:v>
                </c:pt>
                <c:pt idx="18">
                  <c:v>30</c:v>
                </c:pt>
                <c:pt idx="19">
                  <c:v>35</c:v>
                </c:pt>
                <c:pt idx="20">
                  <c:v>40</c:v>
                </c:pt>
                <c:pt idx="21">
                  <c:v>50</c:v>
                </c:pt>
                <c:pt idx="22">
                  <c:v>60</c:v>
                </c:pt>
                <c:pt idx="23">
                  <c:v>70</c:v>
                </c:pt>
                <c:pt idx="24">
                  <c:v>80</c:v>
                </c:pt>
                <c:pt idx="25">
                  <c:v>90</c:v>
                </c:pt>
                <c:pt idx="26">
                  <c:v>100</c:v>
                </c:pt>
                <c:pt idx="27">
                  <c:v>120</c:v>
                </c:pt>
                <c:pt idx="28">
                  <c:v>150</c:v>
                </c:pt>
                <c:pt idx="29">
                  <c:v>200</c:v>
                </c:pt>
                <c:pt idx="30">
                  <c:v>250</c:v>
                </c:pt>
                <c:pt idx="31">
                  <c:v>300</c:v>
                </c:pt>
                <c:pt idx="32">
                  <c:v>350</c:v>
                </c:pt>
                <c:pt idx="33">
                  <c:v>400</c:v>
                </c:pt>
              </c:numCache>
            </c:numRef>
          </c:xVal>
          <c:yVal>
            <c:numRef>
              <c:f>Hárok1!$O$4:$O$37</c:f>
              <c:numCache>
                <c:formatCode>0.00</c:formatCode>
                <c:ptCount val="34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0.05</c:v>
                </c:pt>
                <c:pt idx="6">
                  <c:v>7.0000000000000007E-2</c:v>
                </c:pt>
                <c:pt idx="7">
                  <c:v>0.12</c:v>
                </c:pt>
                <c:pt idx="8">
                  <c:v>0.18</c:v>
                </c:pt>
                <c:pt idx="9">
                  <c:v>0.22</c:v>
                </c:pt>
                <c:pt idx="10">
                  <c:v>0.31</c:v>
                </c:pt>
                <c:pt idx="11">
                  <c:v>0.49</c:v>
                </c:pt>
                <c:pt idx="12">
                  <c:v>0.75</c:v>
                </c:pt>
                <c:pt idx="13">
                  <c:v>1</c:v>
                </c:pt>
                <c:pt idx="14">
                  <c:v>1.34</c:v>
                </c:pt>
                <c:pt idx="15">
                  <c:v>1.67</c:v>
                </c:pt>
                <c:pt idx="16">
                  <c:v>2.13</c:v>
                </c:pt>
                <c:pt idx="17">
                  <c:v>2.69</c:v>
                </c:pt>
                <c:pt idx="18">
                  <c:v>3.32</c:v>
                </c:pt>
                <c:pt idx="19">
                  <c:v>3.91</c:v>
                </c:pt>
                <c:pt idx="20">
                  <c:v>4.54</c:v>
                </c:pt>
                <c:pt idx="21">
                  <c:v>5.82</c:v>
                </c:pt>
                <c:pt idx="22">
                  <c:v>7.17</c:v>
                </c:pt>
                <c:pt idx="23">
                  <c:v>8.5</c:v>
                </c:pt>
                <c:pt idx="24">
                  <c:v>9.7799999999999994</c:v>
                </c:pt>
                <c:pt idx="25">
                  <c:v>11.25</c:v>
                </c:pt>
                <c:pt idx="26">
                  <c:v>12.56</c:v>
                </c:pt>
                <c:pt idx="27">
                  <c:v>15.37</c:v>
                </c:pt>
                <c:pt idx="28">
                  <c:v>19.66</c:v>
                </c:pt>
                <c:pt idx="29">
                  <c:v>26.96</c:v>
                </c:pt>
                <c:pt idx="30">
                  <c:v>34.630000000000003</c:v>
                </c:pt>
                <c:pt idx="31">
                  <c:v>42.3</c:v>
                </c:pt>
                <c:pt idx="32">
                  <c:v>50.11</c:v>
                </c:pt>
                <c:pt idx="33">
                  <c:v>58.6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8720080"/>
        <c:axId val="478720864"/>
      </c:scatterChart>
      <c:valAx>
        <c:axId val="478720080"/>
        <c:scaling>
          <c:orientation val="minMax"/>
          <c:max val="4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78720864"/>
        <c:crosses val="autoZero"/>
        <c:crossBetween val="midCat"/>
      </c:valAx>
      <c:valAx>
        <c:axId val="47872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78720080"/>
        <c:crossesAt val="0.1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278459378624182"/>
          <c:y val="0.15862216618693056"/>
          <c:w val="0.320950195863"/>
          <c:h val="0.15659664898383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Pavbol Kollár, PhD.</dc:creator>
  <cp:keywords/>
  <dc:description/>
  <cp:lastModifiedBy>Ing. Pavol Kollár, PhD.</cp:lastModifiedBy>
  <cp:revision>5</cp:revision>
  <dcterms:created xsi:type="dcterms:W3CDTF">2023-10-06T16:36:00Z</dcterms:created>
  <dcterms:modified xsi:type="dcterms:W3CDTF">2025-10-02T16:18:00Z</dcterms:modified>
</cp:coreProperties>
</file>